
<file path=[Content_Types].xml><?xml version="1.0" encoding="utf-8"?>
<Types xmlns="http://schemas.openxmlformats.org/package/2006/content-types">
  <Default Extension="xml" ContentType="application/xml"/>
  <Default Extension="gif" ContentType="image/gi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pageBreakBefore/>
        <w:widowControl w:val="0"/>
        <w:kinsoku/>
        <w:wordWrap/>
        <w:overflowPunct/>
        <w:topLinePunct w:val="0"/>
        <w:autoSpaceDE/>
        <w:autoSpaceDN/>
        <w:bidi w:val="0"/>
        <w:adjustRightInd/>
        <w:snapToGrid/>
        <w:spacing w:before="100" w:beforeLines="100" w:beforeAutospacing="0" w:after="100" w:afterLines="100" w:afterAutospacing="0" w:line="288" w:lineRule="auto"/>
        <w:ind w:firstLine="0" w:firstLineChars="0"/>
        <w:jc w:val="center"/>
        <w:textAlignment w:val="auto"/>
        <w:outlineLvl w:val="0"/>
        <w:rPr>
          <w:rFonts w:hint="eastAsia" w:eastAsia="仿宋" w:cs="宋体" w:asciiTheme="minorAscii" w:hAnsiTheme="minorAscii"/>
          <w:b/>
          <w:kern w:val="44"/>
          <w:sz w:val="32"/>
          <w:szCs w:val="21"/>
          <w:lang w:val="en-US" w:eastAsia="zh-CN" w:bidi="ar-SA"/>
        </w:rPr>
      </w:pPr>
      <w:r>
        <w:rPr>
          <w:rFonts w:hint="eastAsia" w:eastAsia="仿宋" w:cs="宋体" w:asciiTheme="minorAscii" w:hAnsiTheme="minorAscii"/>
          <w:b/>
          <w:kern w:val="44"/>
          <w:sz w:val="32"/>
          <w:szCs w:val="21"/>
          <w:lang w:val="en-US" w:eastAsia="zh-CN" w:bidi="ar-SA"/>
        </w:rPr>
        <w:t>推荐阅读：以“全周期管理”一体推进“三不腐”</w:t>
      </w:r>
    </w:p>
    <w:p>
      <w:pPr>
        <w:rPr>
          <w:rFonts w:hint="eastAsia" w:eastAsia="宋体"/>
          <w:lang w:val="en-US" w:eastAsia="zh-CN"/>
        </w:rPr>
      </w:pPr>
      <w:r>
        <w:rPr>
          <w:rFonts w:hint="eastAsia" w:eastAsia="宋体"/>
          <w:lang w:eastAsia="zh-CN"/>
        </w:rPr>
        <w:t>考生在平时可以多阅读一些权威媒体的报道或时评，一是对阅读素材的积累，二是对写作手法的借鉴。展鸿教育挑选了一些文章，供各位考生阅读参考：</w:t>
      </w:r>
    </w:p>
    <w:p>
      <w:pPr>
        <w:ind w:left="0" w:leftChars="0" w:firstLine="420" w:firstLineChars="200"/>
        <w:rPr>
          <w:rFonts w:hint="eastAsia" w:eastAsia="宋体"/>
          <w:lang w:val="en-US" w:eastAsia="zh-CN"/>
        </w:rPr>
      </w:pPr>
      <w:r>
        <w:rPr>
          <w:rFonts w:hint="eastAsia" w:eastAsia="宋体"/>
          <w:lang w:val="en-US" w:eastAsia="zh-CN"/>
        </w:rPr>
        <w:t>反腐败斗争关系民心这个最大的政治，是一场输不起也决不能输的重大政治斗争。习近平总书记近日在中共中央政治局第四十次集体学习时强调，一体推进不敢腐、不能腐、不想腐，必须三者同时发力、同向发力、综合发力，“用‘全周期管理’方式，推动各项措施在政策取向上相互配合、在实施过程中相互促进、在工作成效上相得益彰。”</w:t>
      </w:r>
    </w:p>
    <w:p>
      <w:pPr>
        <w:ind w:left="0" w:leftChars="0" w:firstLine="420" w:firstLineChars="200"/>
        <w:rPr>
          <w:rFonts w:hint="eastAsia" w:eastAsia="宋体"/>
          <w:lang w:val="en-US" w:eastAsia="zh-CN"/>
        </w:rPr>
      </w:pPr>
      <w:r>
        <w:rPr>
          <w:rFonts w:hint="eastAsia" w:eastAsia="宋体"/>
          <w:lang w:val="en-US" w:eastAsia="zh-CN"/>
        </w:rPr>
        <w:t>“全周期管理”是一种现代化管理理念和管理模式。习近平总书记着眼新形势下党风廉政建设和反腐败斗争的新挑战新要求，将“全周期管理”引入到腐败治理领域，体现了我们党对反腐败斗争规律性认识的深化，为提高一体推进“三不腐”能力和水平指明了前进方向、提供了工作方法，具有重要意义。</w:t>
      </w:r>
    </w:p>
    <w:p>
      <w:pPr>
        <w:ind w:left="0" w:leftChars="0" w:firstLine="420" w:firstLineChars="200"/>
        <w:rPr>
          <w:rFonts w:hint="eastAsia" w:eastAsia="宋体"/>
          <w:lang w:val="en-US" w:eastAsia="zh-CN"/>
        </w:rPr>
      </w:pPr>
      <w:r>
        <w:rPr>
          <w:rFonts w:hint="eastAsia" w:eastAsia="宋体"/>
          <w:lang w:val="en-US" w:eastAsia="zh-CN"/>
        </w:rPr>
        <w:t>党的十八大以来，我们党以“得罪千百人，不负十四亿”的使命担当去疴治乱，坚持无禁区、全覆盖、零容忍，坚持重遏制、强高压、长震慑，坚持受贿行贿一起查，坚持有案必查、有腐必惩，不敢腐的震慑充分彰显，不能腐的笼子越扎越牢，不想腐的自觉显著增强，推动反腐败斗争取得压倒性胜利并全面巩固。但也要看到当前反腐败斗争形势依然严峻复杂，并呈现出一些新的阶段性特征。只有一体推进不敢腐、不能腐、不想腐，才能彻底铲除腐败问题产生的土壤和条件，全面打赢反腐败斗争攻坚战、持久战。</w:t>
      </w:r>
    </w:p>
    <w:p>
      <w:pPr>
        <w:ind w:left="0" w:leftChars="0" w:firstLine="422" w:firstLineChars="200"/>
        <w:rPr>
          <w:rFonts w:hint="eastAsia" w:eastAsia="宋体"/>
          <w:lang w:val="en-US" w:eastAsia="zh-CN"/>
        </w:rPr>
      </w:pPr>
      <w:r>
        <w:rPr>
          <w:rFonts w:hint="eastAsia" w:eastAsia="宋体"/>
          <w:b/>
          <w:bCs/>
          <w:lang w:val="en-US" w:eastAsia="zh-CN"/>
        </w:rPr>
        <w:t>以“全周期管理”一体推进“三不腐”，首先是要将腐败治理视为一个系统性工程，不断提高反腐败斗争的系统性。</w:t>
      </w:r>
      <w:r>
        <w:rPr>
          <w:rFonts w:hint="eastAsia" w:eastAsia="宋体"/>
          <w:lang w:val="en-US" w:eastAsia="zh-CN"/>
        </w:rPr>
        <w:t>不敢腐、不能腐、不想腐三者相辅相成、互为支撑，让党员干部因敬畏而“不敢”、因制度而“不能”、因觉悟而“不想”，体现的是系统施治、标本兼治的内在要求。一方面要坚持同时发力、同向发力、综合发力，把不敢腐的强大震慑效能、不能腐的刚性制度约束、不想腐的思想教育优势融于一体，形成腐败治理的强大合力。另一方面要更加注重整体性、协同性，增强各项举措的关联性和耦合性，以系统集成的方式方法，持续放大反腐败斗争的立体叠加效应，提升治理的整体效能。</w:t>
      </w:r>
    </w:p>
    <w:p>
      <w:pPr>
        <w:ind w:left="0" w:leftChars="0" w:firstLine="422" w:firstLineChars="200"/>
        <w:rPr>
          <w:rFonts w:hint="eastAsia" w:eastAsia="宋体"/>
          <w:lang w:val="en-US" w:eastAsia="zh-CN"/>
        </w:rPr>
      </w:pPr>
      <w:r>
        <w:rPr>
          <w:rFonts w:hint="eastAsia" w:eastAsia="宋体"/>
          <w:b/>
          <w:bCs/>
          <w:lang w:val="en-US" w:eastAsia="zh-CN"/>
        </w:rPr>
        <w:t>以“全周期管理”一体推进“三不腐”，关键在于强化从源头到末梢的过程管控，着力提升反腐败斗争的科学性。</w:t>
      </w:r>
      <w:r>
        <w:rPr>
          <w:rFonts w:hint="eastAsia" w:eastAsia="宋体"/>
          <w:lang w:val="en-US" w:eastAsia="zh-CN"/>
        </w:rPr>
        <w:t>正所谓“针尖大的窟窿能漏过斗大的风”，腐败是各种不良因素长期积累、持续发酵的体现，任何一个领域、任何一个环节出现漏洞，都容易造成腐败现象禁而不绝。既要聚焦重点领域和关键环节，抓住政策制定、决策程序、审批监管、执法司法等关键权力，严格职责权限，规范工作程序，强化权力制约，减少腐败机会；也要着眼常态化、长效化地防范和治理腐败问题，完善管权治吏的体制机制，把严的主基调贯穿干部选拔任用、日常监督、办事用权、教育管理、考核评价、离任审计等全过程，有效防止腐败滋长。</w:t>
      </w:r>
    </w:p>
    <w:p>
      <w:pPr>
        <w:ind w:left="0" w:leftChars="0" w:firstLine="422" w:firstLineChars="200"/>
        <w:rPr>
          <w:rFonts w:hint="eastAsia" w:eastAsia="宋体"/>
          <w:lang w:val="en-US" w:eastAsia="zh-CN"/>
        </w:rPr>
      </w:pPr>
      <w:bookmarkStart w:id="0" w:name="_GoBack"/>
      <w:r>
        <w:rPr>
          <w:rFonts w:hint="eastAsia" w:eastAsia="宋体"/>
          <w:b/>
          <w:bCs/>
          <w:lang w:val="en-US" w:eastAsia="zh-CN"/>
        </w:rPr>
        <w:t>以“全周期管理”一体推进“三不腐”，还需要准确把握腐败阶段性特征和变化趋势，切实提升反腐败斗争的有效性。</w:t>
      </w:r>
      <w:bookmarkEnd w:id="0"/>
      <w:r>
        <w:rPr>
          <w:rFonts w:hint="eastAsia" w:eastAsia="宋体"/>
          <w:lang w:val="en-US" w:eastAsia="zh-CN"/>
        </w:rPr>
        <w:t>前不久纪检监察机关通报的典型案例中，一些党员领导干部“期权式腐败”引人关注。临近退休“逃逸式”离职，离职后利用影响力受贿，离职后违规任职取酬……腐败手段隐形变异、翻新升级也在提醒着我们，以“全周期管理”一体推进“三不腐”，还需要准确把握腐败阶段性特征和变化趋势，切实提升反腐败斗争的有效性。保持零容忍的警醒、零容忍的力度，建立腐败预警惩治联动机制，提高对腐败现象新特征的分析研究，提高及时发现、有效处理腐败问题的能力，我们定能把腐败的增量遏制住、把存量清除掉。</w:t>
      </w:r>
    </w:p>
    <w:p>
      <w:pPr>
        <w:pStyle w:val="2"/>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after="0"/>
        <w:jc w:val="right"/>
        <w:textAlignment w:val="auto"/>
        <w:rPr>
          <w:rFonts w:hint="eastAsia"/>
          <w:lang w:eastAsia="zh-CN"/>
        </w:rPr>
      </w:pPr>
      <w:r>
        <w:rPr>
          <w:rFonts w:hint="eastAsia" w:eastAsia="宋体"/>
          <w:lang w:eastAsia="zh-CN"/>
        </w:rPr>
        <w:t>来源：</w:t>
      </w:r>
      <w:r>
        <w:rPr>
          <w:rFonts w:hint="eastAsia"/>
          <w:lang w:eastAsia="zh-CN"/>
        </w:rPr>
        <w:t>人民网</w:t>
      </w:r>
    </w:p>
    <w:p>
      <w:pPr>
        <w:keepNext w:val="0"/>
        <w:keepLines w:val="0"/>
        <w:pageBreakBefore w:val="0"/>
        <w:widowControl w:val="0"/>
        <w:kinsoku/>
        <w:wordWrap/>
        <w:overflowPunct/>
        <w:topLinePunct w:val="0"/>
        <w:autoSpaceDE/>
        <w:autoSpaceDN/>
        <w:bidi w:val="0"/>
        <w:adjustRightInd/>
        <w:snapToGrid/>
        <w:spacing w:after="0"/>
        <w:jc w:val="right"/>
        <w:textAlignment w:val="auto"/>
        <w:rPr>
          <w:rFonts w:hint="eastAsia"/>
          <w:lang w:eastAsia="zh-CN"/>
        </w:rPr>
      </w:pPr>
      <w:r>
        <w:rPr>
          <w:rFonts w:hint="eastAsia" w:eastAsia="宋体"/>
          <w:lang w:eastAsia="zh-CN"/>
        </w:rPr>
        <w:t>编辑：展鸿教育</w:t>
      </w:r>
    </w:p>
    <w:p>
      <w:pPr>
        <w:ind w:left="0" w:leftChars="0" w:firstLine="0" w:firstLineChars="0"/>
        <w:rPr>
          <w:rFonts w:hint="eastAsia" w:eastAsia="宋体"/>
          <w:lang w:val="en-US" w:eastAsia="zh-CN"/>
        </w:rPr>
      </w:pPr>
    </w:p>
    <w:sectPr>
      <w:headerReference r:id="rId5" w:type="default"/>
      <w:footerReference r:id="rId6" w:type="default"/>
      <w:pgSz w:w="11906" w:h="16838"/>
      <w:pgMar w:top="1871" w:right="1247" w:bottom="1247" w:left="1247" w:header="851" w:footer="992" w:gutter="0"/>
      <w:pgNumType w:fmt="decimal"/>
      <w:cols w:space="0" w:num="1"/>
      <w:rtlGutter w:val="0"/>
      <w:docGrid w:type="lines" w:linePitch="319"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20"/>
      </w:pPr>
      <w:r>
        <w:separator/>
      </w:r>
    </w:p>
  </w:endnote>
  <w:endnote w:type="continuationSeparator" w:id="1">
    <w:p>
      <w:pPr>
        <w:spacing w:line="240" w:lineRule="auto"/>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Microsoft JhengHei">
    <w:panose1 w:val="020B0604030504040204"/>
    <w:charset w:val="88"/>
    <w:family w:val="auto"/>
    <w:pitch w:val="default"/>
    <w:sig w:usb0="00000087" w:usb1="28AF4000" w:usb2="00000016" w:usb3="00000000" w:csb0="00100009"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ind w:left="0" w:leftChars="0" w:firstLine="0" w:firstLineChars="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8"/>
                      <w:ind w:left="0" w:leftChars="0" w:firstLine="0" w:firstLineChars="0"/>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88" w:lineRule="auto"/>
        <w:ind w:firstLine="420"/>
      </w:pPr>
      <w:r>
        <w:separator/>
      </w:r>
    </w:p>
  </w:footnote>
  <w:footnote w:type="continuationSeparator" w:id="1">
    <w:p>
      <w:pPr>
        <w:spacing w:line="288" w:lineRule="auto"/>
        <w:ind w:firstLine="4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keepNext w:val="0"/>
      <w:keepLines w:val="0"/>
      <w:pageBreakBefore w:val="0"/>
      <w:widowControl w:val="0"/>
      <w:pBdr>
        <w:top w:val="none" w:color="auto" w:sz="0" w:space="1"/>
        <w:left w:val="none" w:color="auto" w:sz="0" w:space="4"/>
        <w:bottom w:val="single" w:color="auto" w:sz="4" w:space="1"/>
        <w:right w:val="none" w:color="auto" w:sz="0" w:space="4"/>
      </w:pBdr>
      <w:kinsoku/>
      <w:wordWrap/>
      <w:overflowPunct/>
      <w:topLinePunct w:val="0"/>
      <w:autoSpaceDE/>
      <w:autoSpaceDN/>
      <w:bidi w:val="0"/>
      <w:adjustRightInd/>
      <w:snapToGrid w:val="0"/>
      <w:spacing w:line="240" w:lineRule="auto"/>
      <w:ind w:left="0" w:leftChars="0" w:right="0" w:rightChars="0" w:firstLine="0" w:firstLineChars="0"/>
      <w:jc w:val="left"/>
      <w:textAlignment w:val="auto"/>
      <w:outlineLvl w:val="9"/>
      <w:rPr>
        <w:rFonts w:ascii="宋体" w:hAnsi="宋体" w:eastAsia="宋体" w:cs="宋体"/>
        <w:kern w:val="2"/>
        <w:sz w:val="18"/>
        <w:szCs w:val="21"/>
        <w:lang w:val="en-US" w:eastAsia="zh-CN" w:bidi="ar-SA"/>
      </w:rPr>
    </w:pPr>
    <w:r>
      <w:rPr>
        <w:rFonts w:hint="eastAsia" w:ascii="宋体" w:hAnsi="宋体" w:eastAsia="宋体" w:cs="宋体"/>
        <w:color w:val="C00000"/>
        <w:kern w:val="2"/>
        <w:sz w:val="18"/>
        <w:szCs w:val="21"/>
        <w:u w:val="none"/>
        <w:lang w:val="en-US" w:eastAsia="zh-CN" w:bidi="ar-SA"/>
      </w:rPr>
      <w:drawing>
        <wp:inline distT="0" distB="0" distL="114300" distR="114300">
          <wp:extent cx="1532255" cy="373380"/>
          <wp:effectExtent l="0" t="0" r="10795" b="7620"/>
          <wp:docPr id="2" name="图片 2" descr="展鸿教育logo（横版）"/>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展鸿教育logo（横版）"/>
                  <pic:cNvPicPr>
                    <a:picLocks noChangeAspect="1"/>
                  </pic:cNvPicPr>
                </pic:nvPicPr>
                <pic:blipFill>
                  <a:blip r:embed="rId1"/>
                  <a:srcRect b="-5042"/>
                  <a:stretch>
                    <a:fillRect/>
                  </a:stretch>
                </pic:blipFill>
                <pic:spPr>
                  <a:xfrm>
                    <a:off x="0" y="0"/>
                    <a:ext cx="1532255" cy="373380"/>
                  </a:xfrm>
                  <a:prstGeom prst="rect">
                    <a:avLst/>
                  </a:prstGeom>
                  <a:noFill/>
                  <a:ln>
                    <a:noFill/>
                  </a:ln>
                </pic:spPr>
              </pic:pic>
            </a:graphicData>
          </a:graphic>
        </wp:inline>
      </w:drawing>
    </w:r>
    <w:r>
      <w:rPr>
        <w:rFonts w:hint="eastAsia" w:ascii="宋体" w:hAnsi="宋体" w:eastAsia="宋体" w:cs="宋体"/>
        <w:color w:val="C00000"/>
        <w:kern w:val="2"/>
        <w:sz w:val="18"/>
        <w:szCs w:val="21"/>
        <w:u w:val="none"/>
        <w:lang w:val="en-US" w:eastAsia="zh-CN" w:bidi="ar-SA"/>
      </w:rPr>
      <w:t xml:space="preserve">                                               </w:t>
    </w:r>
    <w:r>
      <w:rPr>
        <w:rFonts w:hint="eastAsia" w:ascii="宋体" w:hAnsi="宋体" w:eastAsia="宋体" w:cs="宋体"/>
        <w:b/>
        <w:bCs/>
        <w:color w:val="FF0000"/>
        <w:kern w:val="2"/>
        <w:sz w:val="21"/>
        <w:szCs w:val="21"/>
        <w:u w:val="none"/>
        <w:lang w:val="en-US" w:eastAsia="zh-CN" w:bidi="ar-SA"/>
      </w:rPr>
      <w:t>让学习更快乐  让考试更简单</w:t>
    </w:r>
  </w:p>
  <w:p>
    <w:pPr>
      <w:widowControl w:val="0"/>
      <w:pBdr>
        <w:top w:val="none" w:color="auto" w:sz="0" w:space="1"/>
        <w:left w:val="none" w:color="auto" w:sz="0" w:space="4"/>
        <w:bottom w:val="none" w:color="auto" w:sz="0" w:space="1"/>
        <w:right w:val="none" w:color="auto" w:sz="0" w:space="4"/>
      </w:pBdr>
      <w:snapToGrid w:val="0"/>
      <w:spacing w:line="240" w:lineRule="auto"/>
      <w:ind w:firstLine="360" w:firstLineChars="200"/>
      <w:jc w:val="both"/>
      <w:outlineLvl w:val="9"/>
    </w:pPr>
    <w:r>
      <w:rPr>
        <w:rFonts w:ascii="宋体" w:hAnsi="宋体" w:eastAsia="宋体" w:cs="宋体"/>
        <w:kern w:val="2"/>
        <w:sz w:val="18"/>
        <w:szCs w:val="21"/>
        <w:lang w:val="en-US" w:eastAsia="zh-CN" w:bidi="ar-SA"/>
      </w:rPr>
      <w:pict>
        <v:shape id="PowerPlusWaterMarkObject58521" o:spid="_x0000_s4097" o:spt="136" type="#_x0000_t136" style="position:absolute;left:0pt;height:130.15pt;width:457.1pt;mso-position-horizontal:center;mso-position-horizontal-relative:margin;mso-position-vertical:center;mso-position-vertical-relative:margin;rotation:-2949120f;z-index:-251657216;mso-width-relative:page;mso-height-relative:page;" fillcolor="#FF0000" filled="t" stroked="f" coordsize="21600,21600" adj="10800">
          <v:path/>
          <v:fill on="t" opacity="13107f" focussize="0,0"/>
          <v:stroke on="f"/>
          <v:imagedata o:title=""/>
          <o:lock v:ext="edit" aspectratio="t"/>
          <v:textpath on="t" fitshape="t" fitpath="t" trim="t" xscale="f" string="展鸿教育" style="font-family:宋体;font-size:36pt;v-same-letter-heights:f;v-text-align:center;"/>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FmYzM5ZjEwYzJjM2QyYzBmOGFmYWM0MDRiYzQyOWIifQ=="/>
  </w:docVars>
  <w:rsids>
    <w:rsidRoot w:val="00000000"/>
    <w:rsid w:val="04536739"/>
    <w:rsid w:val="045F384F"/>
    <w:rsid w:val="08D97BC4"/>
    <w:rsid w:val="090A6794"/>
    <w:rsid w:val="0B506FDA"/>
    <w:rsid w:val="0BDE08E5"/>
    <w:rsid w:val="0C2844AB"/>
    <w:rsid w:val="0D8E7811"/>
    <w:rsid w:val="0FDD23ED"/>
    <w:rsid w:val="104F11F2"/>
    <w:rsid w:val="111C2FF7"/>
    <w:rsid w:val="112D7517"/>
    <w:rsid w:val="11545862"/>
    <w:rsid w:val="128C1182"/>
    <w:rsid w:val="13335DAA"/>
    <w:rsid w:val="13850D35"/>
    <w:rsid w:val="138C6812"/>
    <w:rsid w:val="13E40DCE"/>
    <w:rsid w:val="155118EA"/>
    <w:rsid w:val="1796289D"/>
    <w:rsid w:val="19001959"/>
    <w:rsid w:val="1A2B77F4"/>
    <w:rsid w:val="1B8D6283"/>
    <w:rsid w:val="1BAE2647"/>
    <w:rsid w:val="1C700AFC"/>
    <w:rsid w:val="1D5232E9"/>
    <w:rsid w:val="1D985289"/>
    <w:rsid w:val="1E1B5A01"/>
    <w:rsid w:val="1EE02B83"/>
    <w:rsid w:val="1F425CE4"/>
    <w:rsid w:val="20EB3778"/>
    <w:rsid w:val="21FC7CC7"/>
    <w:rsid w:val="241E2177"/>
    <w:rsid w:val="246F33B4"/>
    <w:rsid w:val="27F57622"/>
    <w:rsid w:val="29F11AFD"/>
    <w:rsid w:val="2A057216"/>
    <w:rsid w:val="2AD70991"/>
    <w:rsid w:val="2D2D1C72"/>
    <w:rsid w:val="2E423C5A"/>
    <w:rsid w:val="2E8A2312"/>
    <w:rsid w:val="31576962"/>
    <w:rsid w:val="32F2298E"/>
    <w:rsid w:val="34E03EE7"/>
    <w:rsid w:val="3775061C"/>
    <w:rsid w:val="391653C6"/>
    <w:rsid w:val="3A221F88"/>
    <w:rsid w:val="3A9243B1"/>
    <w:rsid w:val="3A960C55"/>
    <w:rsid w:val="3C3C17A7"/>
    <w:rsid w:val="3D1B0EB9"/>
    <w:rsid w:val="3D605157"/>
    <w:rsid w:val="3F032A7E"/>
    <w:rsid w:val="40DE672F"/>
    <w:rsid w:val="41325C7C"/>
    <w:rsid w:val="45074767"/>
    <w:rsid w:val="45244FCC"/>
    <w:rsid w:val="45264ACC"/>
    <w:rsid w:val="488635D6"/>
    <w:rsid w:val="48B001F1"/>
    <w:rsid w:val="48BB3FC0"/>
    <w:rsid w:val="4C911E1C"/>
    <w:rsid w:val="4CAF0431"/>
    <w:rsid w:val="503654F7"/>
    <w:rsid w:val="52AC0188"/>
    <w:rsid w:val="52EA60B7"/>
    <w:rsid w:val="53241C8D"/>
    <w:rsid w:val="54B42771"/>
    <w:rsid w:val="55081ED2"/>
    <w:rsid w:val="563C6611"/>
    <w:rsid w:val="5661258D"/>
    <w:rsid w:val="56D00445"/>
    <w:rsid w:val="58832C8B"/>
    <w:rsid w:val="58A03D77"/>
    <w:rsid w:val="58C241B6"/>
    <w:rsid w:val="59750258"/>
    <w:rsid w:val="5ABC2824"/>
    <w:rsid w:val="5BCF1B46"/>
    <w:rsid w:val="5D683D07"/>
    <w:rsid w:val="5E3D02CB"/>
    <w:rsid w:val="5ED45ACE"/>
    <w:rsid w:val="61044D4E"/>
    <w:rsid w:val="621357FA"/>
    <w:rsid w:val="6241516D"/>
    <w:rsid w:val="63242FCA"/>
    <w:rsid w:val="659A7A1B"/>
    <w:rsid w:val="66401960"/>
    <w:rsid w:val="68D71152"/>
    <w:rsid w:val="69D35574"/>
    <w:rsid w:val="69F413EB"/>
    <w:rsid w:val="6A6A44C8"/>
    <w:rsid w:val="6B643BBC"/>
    <w:rsid w:val="6C1B1319"/>
    <w:rsid w:val="6C426C43"/>
    <w:rsid w:val="6CCD2C95"/>
    <w:rsid w:val="6DFF3101"/>
    <w:rsid w:val="71120FC8"/>
    <w:rsid w:val="72C84F6A"/>
    <w:rsid w:val="73147EA8"/>
    <w:rsid w:val="7426310B"/>
    <w:rsid w:val="746B3E4D"/>
    <w:rsid w:val="768E26DC"/>
    <w:rsid w:val="77BF27C8"/>
    <w:rsid w:val="797A378B"/>
    <w:rsid w:val="7998038C"/>
    <w:rsid w:val="7AA24B61"/>
    <w:rsid w:val="7ABD440F"/>
    <w:rsid w:val="7C6F0B02"/>
    <w:rsid w:val="7DCA4A14"/>
    <w:rsid w:val="7E2A6BF1"/>
    <w:rsid w:val="7E5C68D9"/>
    <w:rsid w:val="7FE670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tabs>
        <w:tab w:val="left" w:pos="420"/>
        <w:tab w:val="left" w:pos="2520"/>
        <w:tab w:val="left" w:pos="4620"/>
        <w:tab w:val="left" w:pos="6720"/>
      </w:tabs>
      <w:spacing w:line="288" w:lineRule="auto"/>
      <w:ind w:firstLine="643" w:firstLineChars="200"/>
      <w:jc w:val="both"/>
    </w:pPr>
    <w:rPr>
      <w:rFonts w:ascii="宋体" w:hAnsi="宋体" w:eastAsia="宋体" w:cs="宋体"/>
      <w:kern w:val="2"/>
      <w:sz w:val="21"/>
      <w:szCs w:val="21"/>
      <w:lang w:val="en-US" w:eastAsia="zh-CN" w:bidi="ar-SA"/>
    </w:rPr>
  </w:style>
  <w:style w:type="paragraph" w:styleId="4">
    <w:name w:val="heading 1"/>
    <w:basedOn w:val="1"/>
    <w:next w:val="1"/>
    <w:link w:val="18"/>
    <w:qFormat/>
    <w:uiPriority w:val="0"/>
    <w:pPr>
      <w:pageBreakBefore/>
      <w:spacing w:before="100" w:beforeLines="100" w:beforeAutospacing="0" w:after="100" w:afterLines="100" w:afterAutospacing="0"/>
      <w:ind w:firstLine="0" w:firstLineChars="0"/>
      <w:jc w:val="center"/>
      <w:outlineLvl w:val="0"/>
    </w:pPr>
    <w:rPr>
      <w:rFonts w:ascii="Times New Roman" w:hAnsi="Times New Roman" w:eastAsia="仿宋" w:cs="宋体"/>
      <w:b/>
      <w:bCs/>
      <w:kern w:val="44"/>
      <w:sz w:val="32"/>
      <w:szCs w:val="48"/>
      <w:lang w:bidi="ar"/>
    </w:rPr>
  </w:style>
  <w:style w:type="paragraph" w:styleId="5">
    <w:name w:val="heading 2"/>
    <w:basedOn w:val="1"/>
    <w:next w:val="1"/>
    <w:link w:val="13"/>
    <w:semiHidden/>
    <w:unhideWhenUsed/>
    <w:qFormat/>
    <w:uiPriority w:val="0"/>
    <w:pPr>
      <w:keepNext/>
      <w:keepLines/>
      <w:spacing w:before="150" w:beforeLines="150" w:beforeAutospacing="0" w:after="150" w:afterLines="150" w:afterAutospacing="0" w:line="288" w:lineRule="auto"/>
      <w:ind w:firstLine="0" w:firstLineChars="0"/>
      <w:jc w:val="center"/>
      <w:outlineLvl w:val="1"/>
    </w:pPr>
    <w:rPr>
      <w:rFonts w:ascii="Arial" w:hAnsi="Arial" w:eastAsia="黑体"/>
      <w:sz w:val="24"/>
    </w:rPr>
  </w:style>
  <w:style w:type="paragraph" w:styleId="6">
    <w:name w:val="heading 3"/>
    <w:basedOn w:val="1"/>
    <w:next w:val="1"/>
    <w:link w:val="19"/>
    <w:semiHidden/>
    <w:unhideWhenUsed/>
    <w:qFormat/>
    <w:uiPriority w:val="0"/>
    <w:pPr>
      <w:keepNext/>
      <w:keepLines/>
      <w:spacing w:before="100" w:beforeLines="100" w:after="100" w:afterLines="100" w:line="288" w:lineRule="auto"/>
      <w:ind w:left="420" w:leftChars="200" w:firstLine="643" w:firstLineChars="200"/>
      <w:jc w:val="left"/>
      <w:outlineLvl w:val="2"/>
    </w:pPr>
    <w:rPr>
      <w:rFonts w:ascii="黑体" w:hAnsi="黑体" w:eastAsia="黑体" w:cs="黑体"/>
      <w:szCs w:val="32"/>
    </w:rPr>
  </w:style>
  <w:style w:type="paragraph" w:styleId="7">
    <w:name w:val="heading 4"/>
    <w:basedOn w:val="1"/>
    <w:next w:val="1"/>
    <w:semiHidden/>
    <w:unhideWhenUsed/>
    <w:qFormat/>
    <w:uiPriority w:val="0"/>
    <w:pPr>
      <w:keepNext/>
      <w:keepLines/>
      <w:pageBreakBefore/>
      <w:spacing w:before="75" w:beforeAutospacing="0" w:after="150" w:afterAutospacing="0" w:line="855" w:lineRule="exact"/>
      <w:ind w:firstLine="0" w:firstLineChars="0"/>
      <w:jc w:val="center"/>
      <w:outlineLvl w:val="3"/>
    </w:pPr>
    <w:rPr>
      <w:rFonts w:ascii="Times New Roman" w:hAnsi="Times New Roman" w:eastAsia="仿宋" w:cs="黑体"/>
      <w:b/>
      <w:sz w:val="32"/>
      <w:szCs w:val="22"/>
    </w:rPr>
  </w:style>
  <w:style w:type="character" w:default="1" w:styleId="11">
    <w:name w:val="Default Paragraph Font"/>
    <w:unhideWhenUsed/>
    <w:qFormat/>
    <w:uiPriority w:val="1"/>
  </w:style>
  <w:style w:type="table" w:default="1" w:styleId="10">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tabs>
        <w:tab w:val="left" w:pos="420"/>
        <w:tab w:val="left" w:pos="2520"/>
        <w:tab w:val="left" w:pos="4620"/>
        <w:tab w:val="left" w:pos="6720"/>
      </w:tabs>
      <w:ind w:firstLine="420" w:firstLineChars="200"/>
    </w:pPr>
  </w:style>
  <w:style w:type="paragraph" w:styleId="3">
    <w:name w:val="Body Text Indent"/>
    <w:basedOn w:val="1"/>
    <w:qFormat/>
    <w:uiPriority w:val="0"/>
    <w:pPr>
      <w:spacing w:after="120" w:afterLines="0" w:afterAutospacing="0"/>
      <w:ind w:left="420" w:leftChars="200"/>
    </w:pPr>
  </w:style>
  <w:style w:type="paragraph" w:styleId="8">
    <w:name w:val="footer"/>
    <w:basedOn w:val="1"/>
    <w:qFormat/>
    <w:uiPriority w:val="0"/>
    <w:pPr>
      <w:tabs>
        <w:tab w:val="center" w:pos="4153"/>
        <w:tab w:val="right" w:pos="8306"/>
        <w:tab w:val="clear" w:pos="420"/>
        <w:tab w:val="clear" w:pos="2520"/>
        <w:tab w:val="clear" w:pos="4620"/>
        <w:tab w:val="clear" w:pos="6720"/>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 w:val="clear" w:pos="420"/>
        <w:tab w:val="clear" w:pos="2520"/>
        <w:tab w:val="clear" w:pos="4620"/>
        <w:tab w:val="clear" w:pos="6720"/>
      </w:tabs>
      <w:snapToGrid w:val="0"/>
      <w:spacing w:line="240" w:lineRule="auto"/>
      <w:jc w:val="both"/>
      <w:outlineLvl w:val="9"/>
    </w:pPr>
    <w:rPr>
      <w:sz w:val="18"/>
    </w:rPr>
  </w:style>
  <w:style w:type="paragraph" w:customStyle="1" w:styleId="12">
    <w:name w:val="语文标题"/>
    <w:basedOn w:val="7"/>
    <w:next w:val="1"/>
    <w:qFormat/>
    <w:uiPriority w:val="0"/>
    <w:pPr>
      <w:jc w:val="center"/>
    </w:pPr>
    <w:rPr>
      <w:rFonts w:ascii="Times New Roman" w:hAnsi="Times New Roman" w:eastAsia="仿宋"/>
      <w:sz w:val="30"/>
    </w:rPr>
  </w:style>
  <w:style w:type="character" w:customStyle="1" w:styleId="13">
    <w:name w:val="标题 2 Char"/>
    <w:basedOn w:val="11"/>
    <w:link w:val="5"/>
    <w:qFormat/>
    <w:uiPriority w:val="0"/>
    <w:rPr>
      <w:rFonts w:ascii="Arial" w:hAnsi="Arial" w:eastAsia="黑体" w:cs="Microsoft JhengHei"/>
      <w:bCs/>
      <w:color w:val="auto"/>
      <w:kern w:val="0"/>
      <w:sz w:val="24"/>
      <w:szCs w:val="20"/>
    </w:rPr>
  </w:style>
  <w:style w:type="paragraph" w:customStyle="1" w:styleId="14">
    <w:name w:val="请开始答题"/>
    <w:basedOn w:val="1"/>
    <w:qFormat/>
    <w:uiPriority w:val="0"/>
    <w:pPr>
      <w:ind w:firstLine="643" w:firstLineChars="200"/>
      <w:jc w:val="left"/>
    </w:pPr>
    <w:rPr>
      <w:rFonts w:ascii="Times New Roman" w:hAnsi="Times New Roman" w:eastAsia="楷体" w:cs="黑体"/>
      <w:b/>
      <w:szCs w:val="22"/>
    </w:rPr>
  </w:style>
  <w:style w:type="paragraph" w:customStyle="1" w:styleId="15">
    <w:name w:val="标题２－参考时限"/>
    <w:basedOn w:val="5"/>
    <w:next w:val="1"/>
    <w:qFormat/>
    <w:uiPriority w:val="0"/>
    <w:pPr>
      <w:snapToGrid w:val="0"/>
    </w:pPr>
  </w:style>
  <w:style w:type="paragraph" w:customStyle="1" w:styleId="16">
    <w:name w:val="标题２（参考时限）"/>
    <w:basedOn w:val="1"/>
    <w:qFormat/>
    <w:uiPriority w:val="0"/>
    <w:pPr>
      <w:spacing w:before="400" w:line="360" w:lineRule="auto"/>
    </w:pPr>
    <w:rPr>
      <w:rFonts w:ascii="Times New Roman" w:hAnsi="Times New Roman" w:eastAsia="宋体" w:cs="黑体"/>
      <w:szCs w:val="22"/>
    </w:rPr>
  </w:style>
  <w:style w:type="paragraph" w:customStyle="1" w:styleId="17">
    <w:name w:val="标题３（请开始答题）"/>
    <w:basedOn w:val="1"/>
    <w:qFormat/>
    <w:uiPriority w:val="0"/>
    <w:pPr>
      <w:spacing w:before="300" w:line="240" w:lineRule="auto"/>
      <w:ind w:firstLine="643" w:firstLineChars="200"/>
      <w:jc w:val="left"/>
    </w:pPr>
    <w:rPr>
      <w:rFonts w:ascii="Times New Roman" w:hAnsi="Times New Roman" w:eastAsia="黑体" w:cs="黑体"/>
      <w:szCs w:val="22"/>
    </w:rPr>
  </w:style>
  <w:style w:type="character" w:customStyle="1" w:styleId="18">
    <w:name w:val="标题 1 Char"/>
    <w:link w:val="4"/>
    <w:qFormat/>
    <w:uiPriority w:val="0"/>
    <w:rPr>
      <w:rFonts w:ascii="Times New Roman" w:hAnsi="Times New Roman" w:eastAsia="仿宋" w:cs="宋体"/>
      <w:b/>
      <w:kern w:val="44"/>
      <w:sz w:val="32"/>
      <w:szCs w:val="24"/>
    </w:rPr>
  </w:style>
  <w:style w:type="character" w:customStyle="1" w:styleId="19">
    <w:name w:val="标题 3 Char1"/>
    <w:link w:val="6"/>
    <w:qFormat/>
    <w:uiPriority w:val="0"/>
    <w:rPr>
      <w:rFonts w:ascii="黑体" w:hAnsi="黑体" w:eastAsia="黑体" w:cs="黑体"/>
      <w:szCs w:val="3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1389</Words>
  <Characters>1389</Characters>
  <Lines>0</Lines>
  <Paragraphs>0</Paragraphs>
  <TotalTime>13</TotalTime>
  <ScaleCrop>false</ScaleCrop>
  <LinksUpToDate>false</LinksUpToDate>
  <CharactersWithSpaces>1389</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2019-07-26T01:17:00Z</dcterms:created>
  <dc:creator>Administrator</dc:creator>
  <cp:lastModifiedBy>梅格安</cp:lastModifiedBy>
  <dcterms:modified xsi:type="dcterms:W3CDTF">2022-06-30T05:34:56Z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DCD4A9ACD6BC4D4486EF2573D378A809</vt:lpwstr>
  </property>
</Properties>
</file>